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38"/>
          <w:szCs w:val="38"/>
        </w:rPr>
      </w:pPr>
      <w:r>
        <w:rPr>
          <w:rFonts w:eastAsia="Times New Roman" w:cs="Times New Roman" w:ascii="Times New Roman" w:hAnsi="Times New Roman"/>
          <w:b/>
          <w:sz w:val="38"/>
          <w:szCs w:val="38"/>
        </w:rPr>
        <w:t xml:space="preserve">AVVISO PUBBLICO </w:t>
      </w:r>
    </w:p>
    <w:p>
      <w:pPr>
        <w:pStyle w:val="Normal"/>
        <w:spacing w:lineRule="auto" w:line="240" w:before="0" w:after="0"/>
        <w:jc w:val="center"/>
        <w:rPr>
          <w:rFonts w:ascii="Times New Roman" w:hAnsi="Times New Roman" w:eastAsia="Times New Roman" w:cs="Times New Roman"/>
          <w:b/>
          <w:b/>
          <w:sz w:val="38"/>
          <w:szCs w:val="38"/>
        </w:rPr>
      </w:pPr>
      <w:r>
        <w:rPr>
          <w:rFonts w:eastAsia="Times New Roman" w:cs="Times New Roman" w:ascii="Times New Roman" w:hAnsi="Times New Roman"/>
          <w:b/>
          <w:sz w:val="38"/>
          <w:szCs w:val="38"/>
        </w:rPr>
        <w:t>PER LA CONSULTAZIONE DEGLI  STAKEHOLDERS</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ai fini dell’approvazione del </w:t>
      </w:r>
    </w:p>
    <w:p>
      <w:pPr>
        <w:pStyle w:val="Normal"/>
        <w:spacing w:lineRule="auto" w:line="240" w:before="0" w:after="0"/>
        <w:jc w:val="center"/>
        <w:rPr>
          <w:rFonts w:ascii="Times New Roman" w:hAnsi="Times New Roman" w:eastAsia="Times New Roman" w:cs="Times New Roman"/>
          <w:b/>
          <w:b/>
          <w:sz w:val="34"/>
          <w:szCs w:val="34"/>
        </w:rPr>
      </w:pPr>
      <w:r>
        <w:rPr>
          <w:rFonts w:eastAsia="Times New Roman" w:cs="Times New Roman" w:ascii="Times New Roman" w:hAnsi="Times New Roman"/>
          <w:b/>
          <w:sz w:val="34"/>
          <w:szCs w:val="34"/>
        </w:rPr>
        <w:t xml:space="preserve">Piano Triennale Integrato di attività e organizzazione </w:t>
      </w:r>
    </w:p>
    <w:p>
      <w:pPr>
        <w:pStyle w:val="Normal"/>
        <w:spacing w:lineRule="auto" w:line="240" w:before="0" w:after="0"/>
        <w:jc w:val="center"/>
        <w:rPr>
          <w:rFonts w:ascii="Times New Roman" w:hAnsi="Times New Roman" w:eastAsia="Times New Roman" w:cs="Times New Roman"/>
          <w:b/>
          <w:b/>
          <w:sz w:val="34"/>
          <w:szCs w:val="34"/>
        </w:rPr>
      </w:pPr>
      <w:r>
        <w:rPr>
          <w:rFonts w:eastAsia="Times New Roman" w:cs="Times New Roman" w:ascii="Times New Roman" w:hAnsi="Times New Roman"/>
          <w:b/>
          <w:sz w:val="34"/>
          <w:szCs w:val="34"/>
        </w:rPr>
        <w:t>PIAO 2023-2025</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hd w:val="clear" w:color="auto" w:fill="FFFFFF"/>
        <w:spacing w:lineRule="auto" w:line="240" w:before="360" w:after="24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19191A"/>
          <w:sz w:val="24"/>
          <w:szCs w:val="24"/>
        </w:rPr>
        <w:t xml:space="preserve">Il Piano integrato di attività e organizzazione (PIAO) è stato introdotto, nel nostro ordinamento, dall'articolo 6 del decreto legge n. 80 del 9 giugno 2021 ed è il documento unico di programmazione e </w:t>
      </w:r>
      <w:r>
        <w:rPr>
          <w:rFonts w:eastAsia="Times New Roman" w:cs="Times New Roman" w:ascii="Times New Roman" w:hAnsi="Times New Roman"/>
          <w:i/>
          <w:color w:val="19191A"/>
          <w:sz w:val="24"/>
          <w:szCs w:val="24"/>
        </w:rPr>
        <w:t xml:space="preserve">governance </w:t>
      </w:r>
      <w:r>
        <w:rPr>
          <w:rFonts w:eastAsia="Times New Roman" w:cs="Times New Roman" w:ascii="Times New Roman" w:hAnsi="Times New Roman"/>
          <w:color w:val="19191A"/>
          <w:sz w:val="24"/>
          <w:szCs w:val="24"/>
        </w:rPr>
        <w:t>che, dal 30 giugno 2022, assorbe molti dei Piani che finora le amministrazioni pubbliche erano tenute a predisporre annualmente e, precisamente:</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Piano della performance</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Piano di prevenzione della corruzione </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Piano dei fabbisogni </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Piano delle azioni concrete </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Piano organizzativo del lavoro agile</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Piani di azioni positive </w:t>
      </w:r>
    </w:p>
    <w:p>
      <w:pPr>
        <w:pStyle w:val="Normal"/>
        <w:numPr>
          <w:ilvl w:val="0"/>
          <w:numId w:val="1"/>
        </w:numPr>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Piano per razionalizzare l'utilizzo delle dotazioni strumentali, anche informatiche, che corredano le stazioni di lavoro nell'automazione d'ufficio</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Il PIAO 2022-2024  è  pubblicato, sul sito Web dell'Ente, sezione "Amministrazione Trasparente".</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L’Ente deve procedere, entro la scadenza del 30/05/2023,  all’aggiornamento del PIAO per il triennio 2023/2025 e, </w:t>
      </w:r>
      <w:r>
        <w:rPr>
          <w:rFonts w:eastAsia="Times New Roman" w:cs="Times New Roman" w:ascii="Times New Roman" w:hAnsi="Times New Roman"/>
          <w:b/>
          <w:sz w:val="24"/>
          <w:szCs w:val="24"/>
        </w:rPr>
        <w:t>ai fini dell'approvazione del PIAO da parte dell’organo di indirizzo politico-amministrativo dell'Ente, costituisce un presupposto, ed uno strumento importante, la partecipazione sia della comunità civile che di tutti i soggetti che la compongono (stakeholders esterni) oltre alla partecipazione di tutti i soggetti interni all’amministrazione (stakeholders interni).</w:t>
      </w:r>
      <w:r>
        <w:rPr>
          <w:rFonts w:eastAsia="Times New Roman" w:cs="Times New Roman" w:ascii="Times New Roman" w:hAnsi="Times New Roman"/>
          <w:sz w:val="24"/>
          <w:szCs w:val="24"/>
        </w:rPr>
        <w:t xml:space="preserve">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L'acquisizione di proposte, suggerimenti, osservazioni e indicazioni in ordine al contenuto del PIAO viene considerata dall'Ente </w:t>
      </w:r>
      <w:r>
        <w:rPr>
          <w:rFonts w:eastAsia="Times New Roman" w:cs="Times New Roman" w:ascii="Times New Roman" w:hAnsi="Times New Roman"/>
          <w:b/>
          <w:sz w:val="24"/>
          <w:szCs w:val="24"/>
        </w:rPr>
        <w:t>prezioso elemento conoscitivo</w:t>
      </w:r>
      <w:r>
        <w:rPr>
          <w:rFonts w:eastAsia="Times New Roman" w:cs="Times New Roman" w:ascii="Times New Roman" w:hAnsi="Times New Roman"/>
          <w:sz w:val="24"/>
          <w:szCs w:val="24"/>
        </w:rPr>
        <w:t xml:space="preserve"> per  l’efficacia  del  Piano.</w:t>
      </w:r>
    </w:p>
    <w:p>
      <w:pPr>
        <w:pStyle w:val="Normal"/>
        <w:spacing w:lineRule="auto" w:line="240" w:before="0" w:after="0"/>
        <w:jc w:val="both"/>
        <w:rPr>
          <w:rFonts w:ascii="Times New Roman" w:hAnsi="Times New Roman" w:eastAsia="Times New Roman" w:cs="Times New Roman"/>
          <w:color w:val="19191A"/>
          <w:sz w:val="24"/>
          <w:szCs w:val="24"/>
        </w:rPr>
      </w:pPr>
      <w:r>
        <w:rPr>
          <w:rFonts w:eastAsia="Times New Roman" w:cs="Times New Roman" w:ascii="Times New Roman" w:hAnsi="Times New Roman"/>
          <w:color w:val="19191A"/>
          <w:sz w:val="24"/>
          <w:szCs w:val="24"/>
        </w:rPr>
        <w:t>Il PIAO è una concreta semplificazione che permette di compiere un passo decisivo verso una dimensione di maggiore efficienza, efficacia, produttività e misurazione della performance, migliorando la qualità dei servizi ai cittadini e alle imprese.</w:t>
      </w:r>
    </w:p>
    <w:p>
      <w:pPr>
        <w:pStyle w:val="Normal"/>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Qualsiasi soggetto, interno ed esterno all’Ente, fosse interessato a partecipare all'elaborazione del PIAO può inviare proposte, suggerimenti o osservazioni riferiti al PIAO 2022-2024 pubblicato in Amministrazione trasparente, utilizzando i Moduli in calce al presente Avviso.</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Scadenza invio contributi:</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b/>
          <w:b/>
          <w:color w:val="FF0000"/>
          <w:sz w:val="24"/>
          <w:szCs w:val="24"/>
        </w:rPr>
      </w:pPr>
      <w:r>
        <w:rPr>
          <w:rFonts w:eastAsia="Times New Roman" w:cs="Times New Roman" w:ascii="Times New Roman" w:hAnsi="Times New Roman"/>
          <w:b/>
          <w:sz w:val="24"/>
          <w:szCs w:val="24"/>
        </w:rPr>
        <w:t>ore 12.00 del giorno</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b/>
          <w:color w:val="auto"/>
          <w:sz w:val="24"/>
          <w:szCs w:val="24"/>
        </w:rPr>
        <w:t>20/05/2023</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 xml:space="preserve">Casella di posta elettronica cui inviare il Modulo: </w:t>
      </w:r>
      <w:r>
        <w:rPr>
          <w:rFonts w:eastAsia="Times New Roman" w:cs="Times New Roman" w:ascii="Times New Roman" w:hAnsi="Times New Roman"/>
          <w:color w:val="auto"/>
          <w:sz w:val="24"/>
          <w:szCs w:val="24"/>
          <w:u w:val="single"/>
        </w:rPr>
        <w:t>info@pioospizio.it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Proposta  Stakeholders</w:t>
      </w:r>
      <w:r>
        <w:rPr>
          <w:rStyle w:val="Richiamoallanotaapidipagina"/>
          <w:rFonts w:eastAsia="Times New Roman" w:cs="Times New Roman" w:ascii="Times New Roman" w:hAnsi="Times New Roman"/>
          <w:b/>
          <w:sz w:val="24"/>
          <w:szCs w:val="24"/>
          <w:vertAlign w:val="superscript"/>
        </w:rPr>
        <w:footnoteReference w:id="2"/>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7"/>
        <w:tblW w:w="10466" w:type="dxa"/>
        <w:jc w:val="left"/>
        <w:tblInd w:w="-115" w:type="dxa"/>
        <w:tblCellMar>
          <w:top w:w="0" w:type="dxa"/>
          <w:left w:w="108" w:type="dxa"/>
          <w:bottom w:w="0" w:type="dxa"/>
          <w:right w:w="108" w:type="dxa"/>
        </w:tblCellMar>
        <w:tblLook w:firstRow="0" w:noVBand="1" w:lastRow="0" w:firstColumn="0" w:lastColumn="0" w:noHBand="0" w:val="0400"/>
      </w:tblPr>
      <w:tblGrid>
        <w:gridCol w:w="4925"/>
        <w:gridCol w:w="5540"/>
      </w:tblGrid>
      <w:tr>
        <w:trPr>
          <w:trHeight w:val="589" w:hRule="atLeast"/>
        </w:trPr>
        <w:tc>
          <w:tcPr>
            <w:tcW w:w="4925" w:type="dxa"/>
            <w:tcBorders/>
          </w:tcPr>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DATI DELLO STAKEHOLDER (*)</w:t>
            </w:r>
          </w:p>
        </w:tc>
        <w:tc>
          <w:tcPr>
            <w:tcW w:w="5540"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Cognome e Nome: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Indirizzo:</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bottom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Ente/associazione/organizzazione/altro: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sede: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bottom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ruolo ricoperto nell’ente/associazione/organizzazione: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4925"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4925"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campi da compilare obbligatoriamente</w:t>
            </w:r>
          </w:p>
        </w:tc>
        <w:tc>
          <w:tcPr>
            <w:tcW w:w="5540"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10465" w:type="dxa"/>
            <w:gridSpan w:val="2"/>
            <w:tcBorders>
              <w:bottom w:val="single" w:sz="4" w:space="0" w:color="000000"/>
            </w:tcBorders>
          </w:tcPr>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t xml:space="preserve">PROPOSTE - SUGGERIMENTI </w:t>
            </w:r>
          </w:p>
          <w:p>
            <w:pPr>
              <w:pStyle w:val="Normal"/>
              <w:widowControl w:val="false"/>
              <w:spacing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before="0" w:after="0"/>
              <w:jc w:val="both"/>
              <w:rPr>
                <w:rFonts w:ascii="Times New Roman" w:hAnsi="Times New Roman" w:eastAsia="Times New Roman" w:cs="Times New Roman"/>
                <w:sz w:val="24"/>
                <w:szCs w:val="24"/>
              </w:rPr>
            </w:pPr>
            <w:r>
              <w:rPr>
                <w:rFonts w:eastAsia="Verdana" w:cs="Verdana" w:ascii="Verdana" w:hAnsi="Verdana"/>
                <w:color w:val="000001"/>
              </w:rPr>
              <w:t>Sezione 2. VALORE PUBBLICO, PERFORMANCE E ANTICORRUZIONE</w:t>
            </w:r>
          </w:p>
        </w:tc>
      </w:tr>
      <w:tr>
        <w:trPr>
          <w:trHeight w:val="1005" w:hRule="atLeast"/>
        </w:trPr>
        <w:tc>
          <w:tcPr>
            <w:tcW w:w="104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8"/>
        <w:tblW w:w="10466" w:type="dxa"/>
        <w:jc w:val="left"/>
        <w:tblInd w:w="-115" w:type="dxa"/>
        <w:tblCellMar>
          <w:top w:w="0" w:type="dxa"/>
          <w:left w:w="108" w:type="dxa"/>
          <w:bottom w:w="0" w:type="dxa"/>
          <w:right w:w="108" w:type="dxa"/>
        </w:tblCellMar>
        <w:tblLook w:firstRow="0" w:noVBand="1" w:lastRow="0" w:firstColumn="0" w:lastColumn="0" w:noHBand="0" w:val="0400"/>
      </w:tblPr>
      <w:tblGrid>
        <w:gridCol w:w="10466"/>
      </w:tblGrid>
      <w:tr>
        <w:trPr>
          <w:trHeight w:val="589" w:hRule="atLeast"/>
        </w:trPr>
        <w:tc>
          <w:tcPr>
            <w:tcW w:w="10466" w:type="dxa"/>
            <w:tcBorders>
              <w:bottom w:val="single" w:sz="4" w:space="0" w:color="000000"/>
            </w:tcBorders>
          </w:tcPr>
          <w:p>
            <w:pPr>
              <w:pStyle w:val="Normal"/>
              <w:widowControl w:val="false"/>
              <w:spacing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before="0" w:after="0"/>
              <w:jc w:val="both"/>
              <w:rPr>
                <w:rFonts w:ascii="Times New Roman" w:hAnsi="Times New Roman" w:eastAsia="Times New Roman" w:cs="Times New Roman"/>
                <w:sz w:val="24"/>
                <w:szCs w:val="24"/>
              </w:rPr>
            </w:pPr>
            <w:r>
              <w:rPr>
                <w:rFonts w:eastAsia="Verdana" w:cs="Verdana" w:ascii="Verdana" w:hAnsi="Verdana"/>
                <w:color w:val="000001"/>
              </w:rPr>
              <w:t xml:space="preserve">Sezione 3 ORGANIZZAZIONE E CAPITALE UMANO  </w:t>
            </w:r>
          </w:p>
        </w:tc>
      </w:tr>
      <w:tr>
        <w:trPr>
          <w:trHeight w:val="1005" w:hRule="atLeast"/>
        </w:trPr>
        <w:tc>
          <w:tcPr>
            <w:tcW w:w="1046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9"/>
        <w:tblW w:w="10466" w:type="dxa"/>
        <w:jc w:val="left"/>
        <w:tblInd w:w="-115" w:type="dxa"/>
        <w:tblCellMar>
          <w:top w:w="0" w:type="dxa"/>
          <w:left w:w="108" w:type="dxa"/>
          <w:bottom w:w="0" w:type="dxa"/>
          <w:right w:w="108" w:type="dxa"/>
        </w:tblCellMar>
        <w:tblLook w:firstRow="0" w:noVBand="1" w:lastRow="0" w:firstColumn="0" w:lastColumn="0" w:noHBand="0" w:val="0400"/>
      </w:tblPr>
      <w:tblGrid>
        <w:gridCol w:w="10466"/>
      </w:tblGrid>
      <w:tr>
        <w:trPr>
          <w:trHeight w:val="907" w:hRule="atLeast"/>
        </w:trPr>
        <w:tc>
          <w:tcPr>
            <w:tcW w:w="10466" w:type="dxa"/>
            <w:tcBorders>
              <w:bottom w:val="single" w:sz="4" w:space="0" w:color="000000"/>
            </w:tcBorders>
          </w:tcPr>
          <w:p>
            <w:pPr>
              <w:pStyle w:val="Normal"/>
              <w:widowControl w:val="false"/>
              <w:spacing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before="0" w:after="0"/>
              <w:jc w:val="both"/>
              <w:rPr>
                <w:rFonts w:ascii="Times New Roman" w:hAnsi="Times New Roman" w:eastAsia="Times New Roman" w:cs="Times New Roman"/>
                <w:sz w:val="24"/>
                <w:szCs w:val="24"/>
              </w:rPr>
            </w:pPr>
            <w:r>
              <w:rPr>
                <w:rFonts w:eastAsia="Verdana" w:cs="Verdana" w:ascii="Verdana" w:hAnsi="Verdana"/>
                <w:color w:val="000001"/>
              </w:rPr>
              <w:t xml:space="preserve">Sezione 4 MONITORAGGIO </w:t>
            </w:r>
          </w:p>
        </w:tc>
      </w:tr>
      <w:tr>
        <w:trPr>
          <w:trHeight w:val="1005" w:hRule="atLeast"/>
        </w:trPr>
        <w:tc>
          <w:tcPr>
            <w:tcW w:w="1046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INFORMATIVA SUL TRATTAMENTO DEI DATI PERSONALI</w:t>
      </w:r>
    </w:p>
    <w:p>
      <w:pPr>
        <w:pStyle w:val="Normal"/>
        <w:widowControl w:val="false"/>
        <w:jc w:val="center"/>
        <w:rPr>
          <w:rFonts w:ascii="Times New Roman" w:hAnsi="Times New Roman" w:eastAsia="Times New Roman" w:cs="Times New Roman"/>
          <w:b/>
          <w:b/>
          <w:color w:val="FF0000"/>
        </w:rPr>
      </w:pPr>
      <w:r>
        <w:rPr>
          <w:rFonts w:eastAsia="Times New Roman" w:cs="Times New Roman" w:ascii="Times New Roman" w:hAnsi="Times New Roman"/>
          <w:b/>
        </w:rPr>
        <w:t>(fornita quando i dati personali sono raccolti presso l'interessato, ai sensi dell'art. 13 del Reg. (UE) 2016/ 679</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Ai sensi del Regolamento (UE) 2016/679 (di seguito "GDPR"), queste informazioni descrivono le modalità di trattamento dei dati personali che gli interessati conferiscono al Titolare.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Titolare: PIO OSPIZIO SAN MICHELE con sede in 37054 Nogara (VR) – Via P. Sterzi n. 139; Centralino: +39044288076, Email: info@pioospizio.it, PEC: amministrazione</w:t>
      </w:r>
      <w:r>
        <w:rPr>
          <w:rFonts w:eastAsia="Times New Roman" w:cs="Times New Roman" w:ascii="Times New Roman" w:hAnsi="Times New Roman"/>
          <w:sz w:val="24"/>
          <w:szCs w:val="24"/>
        </w:rPr>
        <w:t>@</w:t>
      </w:r>
      <w:r>
        <w:rPr>
          <w:rFonts w:eastAsia="Times New Roman" w:cs="Times New Roman" w:ascii="Times New Roman" w:hAnsi="Times New Roman"/>
          <w:b/>
          <w:bCs/>
          <w:sz w:val="24"/>
          <w:szCs w:val="24"/>
        </w:rPr>
        <w:t>pec.pioospizio.it</w:t>
      </w:r>
      <w:r>
        <w:rPr>
          <w:rFonts w:eastAsia="Times New Roman" w:cs="Times New Roman" w:ascii="Times New Roman" w:hAnsi="Times New Roman"/>
          <w:b/>
          <w:sz w:val="24"/>
          <w:szCs w:val="24"/>
        </w:rPr>
        <w:t xml:space="preserve">, </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sito web istituzionale: </w:t>
      </w:r>
      <w:hyperlink r:id="rId2">
        <w:r>
          <w:rPr>
            <w:rStyle w:val="CollegamentoInternet"/>
            <w:rFonts w:eastAsia="Times New Roman" w:cs="Times New Roman" w:ascii="Times New Roman" w:hAnsi="Times New Roman"/>
            <w:sz w:val="24"/>
            <w:szCs w:val="24"/>
          </w:rPr>
          <w:t>www.pioospizio.it</w:t>
        </w:r>
      </w:hyperlink>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Rappresentante: Zanetti Silvia Rita</w:t>
      </w:r>
    </w:p>
    <w:p>
      <w:pPr>
        <w:pStyle w:val="Normal"/>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Dati di contatto RPD: </w:t>
      </w:r>
      <w:r>
        <w:rPr>
          <w:rFonts w:eastAsia="Times New Roman" w:cs="Times New Roman" w:ascii="Times New Roman" w:hAnsi="Times New Roman"/>
          <w:color w:val="292929"/>
          <w:sz w:val="24"/>
          <w:szCs w:val="24"/>
        </w:rPr>
        <w:t xml:space="preserve">Responsabile della protezione dei dati presso il Titolare </w:t>
      </w:r>
      <w:r>
        <w:rPr>
          <w:rFonts w:eastAsia="Times New Roman" w:cs="Times New Roman" w:ascii="Times New Roman" w:hAnsi="Times New Roman"/>
          <w:b/>
          <w:bCs/>
          <w:color w:val="292929"/>
          <w:sz w:val="24"/>
          <w:szCs w:val="24"/>
        </w:rPr>
        <w:t>Bubola dott.ssa Marta</w:t>
      </w:r>
    </w:p>
    <w:p>
      <w:pPr>
        <w:pStyle w:val="Normal"/>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recapito telefonico 0442/88076</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 casella email istituzionale – </w:t>
      </w:r>
      <w:hyperlink r:id="rId3">
        <w:r>
          <w:rPr>
            <w:rStyle w:val="CollegamentoInternet"/>
            <w:rFonts w:eastAsia="Times New Roman" w:cs="Times New Roman" w:ascii="Times New Roman" w:hAnsi="Times New Roman"/>
            <w:sz w:val="24"/>
            <w:szCs w:val="24"/>
          </w:rPr>
          <w:t>info@pioospizio.it</w:t>
        </w:r>
      </w:hyperlink>
      <w:r>
        <w:rPr>
          <w:rStyle w:val="CollegamentoInternet"/>
          <w:rFonts w:eastAsia="Times New Roman" w:cs="Times New Roman" w:ascii="Times New Roman" w:hAnsi="Times New Roman"/>
          <w:color w:val="000000"/>
          <w:sz w:val="24"/>
          <w:szCs w:val="24"/>
          <w:u w:val="none"/>
        </w:rPr>
        <w:t xml:space="preserve"> - </w:t>
      </w:r>
      <w:r>
        <w:rPr>
          <w:rFonts w:eastAsia="Times New Roman" w:cs="Times New Roman" w:ascii="Times New Roman" w:hAnsi="Times New Roman"/>
          <w:sz w:val="24"/>
          <w:szCs w:val="24"/>
        </w:rPr>
        <w:t xml:space="preserve">casella PEC </w:t>
      </w:r>
      <w:r>
        <w:rPr>
          <w:rStyle w:val="CollegamentoInternet"/>
          <w:rFonts w:eastAsia="Times New Roman" w:cs="Times New Roman" w:ascii="Times New Roman" w:hAnsi="Times New Roman"/>
          <w:kern w:val="0"/>
          <w:sz w:val="24"/>
          <w:szCs w:val="24"/>
        </w:rPr>
        <w:t>amministrazione@pec.pioospizio.it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 Finalità: </w:t>
      </w:r>
      <w:r>
        <w:rPr>
          <w:rFonts w:eastAsia="Times New Roman" w:cs="Times New Roman" w:ascii="Times New Roman" w:hAnsi="Times New Roman"/>
          <w:sz w:val="24"/>
          <w:szCs w:val="24"/>
        </w:rPr>
        <w:t xml:space="preserve">I dati dell'interessato sono raccolti per la finalità determinata, esplicita e legittima relativa alla gestione del processo/procedimento/attività di: </w:t>
      </w:r>
      <w:r>
        <w:rPr>
          <w:rFonts w:eastAsia="Times New Roman" w:cs="Times New Roman" w:ascii="Times New Roman" w:hAnsi="Times New Roman"/>
          <w:b/>
          <w:sz w:val="24"/>
          <w:szCs w:val="24"/>
        </w:rPr>
        <w:t>APPROVAZIONE PIAO 2023-2025.</w:t>
      </w:r>
      <w:r>
        <w:rPr>
          <w:rFonts w:eastAsia="Times New Roman" w:cs="Times New Roman" w:ascii="Times New Roman" w:hAnsi="Times New Roman"/>
          <w:sz w:val="24"/>
          <w:szCs w:val="24"/>
        </w:rPr>
        <w:t xml:space="preserve"> Successivamente alla raccolta, i dati sono trattati in modo che non sia incompatibile con la predetta finalità. Un ulteriore trattamento, a fini di archiviazione nel pubblico interesse, di ricerca scientifica o storica o a fini statistici non e',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r>
        <w:rPr>
          <w:rFonts w:eastAsia="Times New Roman" w:cs="Times New Roman" w:ascii="Times New Roman" w:hAnsi="Times New Roman"/>
          <w:b/>
          <w:sz w:val="24"/>
          <w:szCs w:val="24"/>
        </w:rPr>
        <w:t>- Base giuridica:</w:t>
      </w:r>
      <w:r>
        <w:rPr>
          <w:rFonts w:eastAsia="Times New Roman" w:cs="Times New Roman" w:ascii="Times New Roman" w:hAnsi="Times New Roman"/>
          <w:sz w:val="24"/>
          <w:szCs w:val="24"/>
        </w:rPr>
        <w:t>I trattamenti sono necessari per l'esecuzione di un compito di interesse pubblico o connesso all'esercizio di pubblici poteri di cui e' investito il titolare del trattamento (L. 190/2012  e decreti delegati)</w:t>
      </w:r>
      <w:r>
        <w:rPr>
          <w:rFonts w:eastAsia="Times New Roman" w:cs="Times New Roman" w:ascii="Times New Roman" w:hAnsi="Times New Roman"/>
          <w:b/>
          <w:sz w:val="24"/>
          <w:szCs w:val="24"/>
        </w:rPr>
        <w:t xml:space="preserve"> - Legittimi interessi: </w:t>
      </w:r>
      <w:r>
        <w:rPr>
          <w:rFonts w:eastAsia="Times New Roman" w:cs="Times New Roman" w:ascii="Times New Roman" w:hAnsi="Times New Roman"/>
          <w:sz w:val="24"/>
          <w:szCs w:val="24"/>
        </w:rPr>
        <w:t>Non si applica al trattamento di dati effettuato dalle autorità pubbliche, nell'esecuzione dei loro compiti, la condizione di liceità del legittimo interesse.</w:t>
      </w:r>
      <w:r>
        <w:rPr>
          <w:rFonts w:eastAsia="Times New Roman" w:cs="Times New Roman" w:ascii="Times New Roman" w:hAnsi="Times New Roman"/>
          <w:b/>
          <w:sz w:val="24"/>
          <w:szCs w:val="24"/>
        </w:rPr>
        <w:t xml:space="preserve">- Categorie di destinatari: </w:t>
      </w:r>
      <w:r>
        <w:rPr>
          <w:rFonts w:eastAsia="Times New Roman" w:cs="Times New Roman" w:ascii="Times New Roman" w:hAnsi="Times New Roman"/>
          <w:sz w:val="24"/>
          <w:szCs w:val="24"/>
        </w:rPr>
        <w:t>I soggetti che possono essere destinatari della comunicazione dei dati sono:</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altri Uffici/Servizi del titolare;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ANAC, Funzione Pubblica;</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soggetti privati a cui i dati vanno comunicati per assolvere alla finalità del trattamento, e che possono assumere il ruolo di responsabile o contitolare del trattamento.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 di fuori di queste ipotesi i dati non saranno comunicati a terzi ne' diffusi, fatti salvi i casi in cui si renda necessario comunicarli ad altri soggetti coinvolti nell'attività istruttoria e nei casi specificamente previsti specificamente previsti dal diritto nazionale o dell'Unione europea.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Trasferimento: </w:t>
      </w:r>
      <w:r>
        <w:rPr>
          <w:rFonts w:eastAsia="Times New Roman" w:cs="Times New Roman" w:ascii="Times New Roman" w:hAnsi="Times New Roman"/>
          <w:sz w:val="24"/>
          <w:szCs w:val="24"/>
        </w:rPr>
        <w:t>I dati personali, oggetto di trattamento, non vengono trasferiti a un paese terzo o a un'organizzazione internazionale.</w:t>
      </w:r>
      <w:r>
        <w:rPr>
          <w:rFonts w:eastAsia="Times New Roman" w:cs="Times New Roman" w:ascii="Times New Roman" w:hAnsi="Times New Roman"/>
          <w:b/>
          <w:sz w:val="24"/>
          <w:szCs w:val="24"/>
        </w:rPr>
        <w:t>- Conservazione:</w:t>
      </w:r>
      <w:r>
        <w:rPr>
          <w:rFonts w:eastAsia="Times New Roman" w:cs="Times New Roman" w:ascii="Times New Roman" w:hAnsi="Times New Roman"/>
          <w:sz w:val="24"/>
          <w:szCs w:val="24"/>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conformità alle norme sulla conservazione della documentazione amministrativa.</w:t>
      </w:r>
      <w:r>
        <w:rPr>
          <w:rFonts w:eastAsia="Times New Roman" w:cs="Times New Roman" w:ascii="Times New Roman" w:hAnsi="Times New Roman"/>
          <w:b/>
          <w:sz w:val="24"/>
          <w:szCs w:val="24"/>
        </w:rPr>
        <w:t xml:space="preserve"> - Diritti dell'interessato: </w:t>
      </w:r>
      <w:r>
        <w:rPr>
          <w:rFonts w:eastAsia="Times New Roman" w:cs="Times New Roman" w:ascii="Times New Roman" w:hAnsi="Times New Roman"/>
          <w:sz w:val="24"/>
          <w:szCs w:val="24"/>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r>
        <w:rPr>
          <w:rFonts w:eastAsia="Times New Roman" w:cs="Times New Roman" w:ascii="Times New Roman" w:hAnsi="Times New Roman"/>
          <w:b/>
          <w:sz w:val="24"/>
          <w:szCs w:val="24"/>
        </w:rPr>
        <w:t xml:space="preserve">- Diritto di revocare il consenso: </w:t>
      </w:r>
      <w:r>
        <w:rPr>
          <w:rFonts w:eastAsia="Times New Roman" w:cs="Times New Roman" w:ascii="Times New Roman" w:hAnsi="Times New Roman"/>
          <w:color w:val="292929"/>
          <w:sz w:val="24"/>
          <w:szCs w:val="24"/>
        </w:rPr>
        <w:t xml:space="preserve">Qualora il trattamento sia basato sul consenso, l'interessato ha diritto di revocare il consenso in qualsiasi momento senza pregiudicare la liceità del trattamento basata sul consenso prestato prima della revoca - </w:t>
      </w:r>
      <w:r>
        <w:rPr>
          <w:rFonts w:eastAsia="Times New Roman" w:cs="Times New Roman" w:ascii="Times New Roman" w:hAnsi="Times New Roman"/>
          <w:b/>
          <w:sz w:val="24"/>
          <w:szCs w:val="24"/>
        </w:rPr>
        <w:t>Diritto di reclamo:</w:t>
      </w:r>
      <w:r>
        <w:rPr>
          <w:rFonts w:eastAsia="Times New Roman" w:cs="Times New Roman" w:ascii="Times New Roman" w:hAnsi="Times New Roman"/>
          <w:sz w:val="24"/>
          <w:szCs w:val="24"/>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rFonts w:eastAsia="Times New Roman" w:cs="Times New Roman" w:ascii="Times New Roman" w:hAnsi="Times New Roman"/>
          <w:b/>
          <w:color w:val="292929"/>
          <w:sz w:val="24"/>
          <w:szCs w:val="24"/>
        </w:rPr>
        <w:t>Conferimento:</w:t>
      </w:r>
      <w:r>
        <w:rPr>
          <w:rFonts w:eastAsia="Times New Roman" w:cs="Times New Roman" w:ascii="Times New Roman" w:hAnsi="Times New Roman"/>
          <w:sz w:val="24"/>
          <w:szCs w:val="24"/>
        </w:rPr>
        <w:t xml:space="preserve"> Il conferimento e' obbligatorio, e l'eventuale rifiuto comporta l'impossibilita' di gestire il processo/procedimento/attività nel cui ambito vanno trattati i dati.</w:t>
      </w:r>
      <w:r>
        <w:rPr>
          <w:rFonts w:eastAsia="Times New Roman" w:cs="Times New Roman" w:ascii="Times New Roman" w:hAnsi="Times New Roman"/>
          <w:b/>
          <w:sz w:val="24"/>
          <w:szCs w:val="24"/>
        </w:rPr>
        <w:t xml:space="preserve"> - Processo decisionale automatizzato e profilazione:</w:t>
      </w:r>
      <w:r>
        <w:rPr>
          <w:rFonts w:eastAsia="Times New Roman" w:cs="Times New Roman" w:ascii="Times New Roman" w:hAnsi="Times New Roman"/>
          <w:color w:val="000000"/>
          <w:sz w:val="24"/>
          <w:szCs w:val="24"/>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rFonts w:eastAsia="Times New Roman" w:cs="Times New Roman" w:ascii="Times New Roman" w:hAnsi="Times New Roman"/>
          <w:b/>
          <w:sz w:val="24"/>
          <w:szCs w:val="24"/>
        </w:rPr>
        <w:t xml:space="preserve">Ulteriori informazioni: </w:t>
      </w:r>
      <w:r>
        <w:rPr>
          <w:rFonts w:eastAsia="Times New Roman" w:cs="Times New Roman" w:ascii="Times New Roman" w:hAnsi="Times New Roman"/>
          <w:sz w:val="24"/>
          <w:szCs w:val="24"/>
        </w:rPr>
        <w:t>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rPr>
          <w:rFonts w:ascii="Times New Roman" w:hAnsi="Times New Roman" w:eastAsia="Times New Roman" w:cs="Times New Roman"/>
          <w:sz w:val="24"/>
          <w:szCs w:val="24"/>
        </w:rPr>
      </w:pPr>
      <w:r>
        <w:rPr/>
      </w:r>
    </w:p>
    <w:sectPr>
      <w:headerReference w:type="default" r:id="rId4"/>
      <w:footerReference w:type="default" r:id="rId5"/>
      <w:footnotePr>
        <w:numFmt w:val="decimal"/>
      </w:footnotePr>
      <w:type w:val="nextPage"/>
      <w:pgSz w:w="11906" w:h="16838"/>
      <w:pgMar w:left="720" w:right="720" w:header="708" w:top="765" w:footer="708" w:bottom="765"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Verdana">
    <w:charset w:val="00"/>
    <w:family w:val="roman"/>
    <w:pitch w:val="variable"/>
  </w:font>
  <w:font w:name="Century Gothic">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right"/>
      <w:rPr>
        <w:rFonts w:eastAsia="Cambria"/>
        <w:b/>
        <w:b/>
        <w:color w:val="000000"/>
      </w:rPr>
    </w:pPr>
    <w:r>
      <w:rPr>
        <w:rFonts w:eastAsia="Cambria"/>
        <w:b/>
        <w:color w:val="000000"/>
      </w:rPr>
      <w:t>__________________________________________________</w:t>
    </w:r>
  </w:p>
  <w:p>
    <w:pPr>
      <w:pStyle w:val="Normal"/>
      <w:tabs>
        <w:tab w:val="clear" w:pos="720"/>
        <w:tab w:val="center" w:pos="4819" w:leader="none"/>
        <w:tab w:val="right" w:pos="9638" w:leader="none"/>
      </w:tabs>
      <w:spacing w:lineRule="auto" w:line="240" w:before="0" w:after="0"/>
      <w:ind w:firstLine="360"/>
      <w:jc w:val="right"/>
      <w:rPr/>
    </w:pPr>
    <w:r>
      <w:rPr/>
    </w:r>
  </w:p>
  <w:p>
    <w:pPr>
      <w:pStyle w:val="Normal"/>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5</w:t>
    </w:r>
    <w:r>
      <w:rPr>
        <w:sz w:val="24"/>
        <w:szCs w:val="24"/>
        <w:rFonts w:eastAsia="Times New Roman" w:cs="Times New Roman"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rPr>
          <w:rFonts w:ascii="Century Gothic" w:hAnsi="Century Gothic" w:eastAsia="Century Gothic" w:cs="Century Gothic"/>
          <w:color w:val="000000"/>
          <w:sz w:val="16"/>
          <w:szCs w:val="16"/>
        </w:rPr>
      </w:pPr>
      <w:r>
        <w:rPr>
          <w:rStyle w:val="Caratterinotaapidipagina"/>
        </w:rPr>
        <w:footnoteRef/>
      </w:r>
      <w:r>
        <w:rPr>
          <w:rStyle w:val="Caratterinotaapidipagina"/>
        </w:rPr>
        <w:t xml:space="preserve">    </w:t>
      </w:r>
      <w:r>
        <w:rPr>
          <w:rStyle w:val="Caratterinotaapidipagina"/>
        </w:rPr>
        <w:t>1</w:t>
      </w:r>
      <w:r>
        <w:rPr>
          <w:rFonts w:eastAsia="Cambria"/>
          <w:color w:val="000000"/>
          <w:sz w:val="24"/>
          <w:szCs w:val="24"/>
        </w:rPr>
        <w:t xml:space="preserve"> </w:t>
      </w:r>
      <w:r>
        <w:rPr>
          <w:rFonts w:eastAsia="Century Gothic" w:cs="Century Gothic" w:ascii="Century Gothic" w:hAnsi="Century Gothic"/>
          <w:color w:val="000000"/>
          <w:sz w:val="16"/>
          <w:szCs w:val="16"/>
        </w:rPr>
        <w:t>Con il termine stakeholder (o portatore di interesse) si individua il soggetto (o un gruppo di soggetti intern</w:t>
      </w:r>
      <w:r>
        <w:rPr>
          <w:rFonts w:eastAsia="Century Gothic" w:cs="Century Gothic" w:ascii="Century Gothic" w:hAnsi="Century Gothic"/>
          <w:sz w:val="16"/>
          <w:szCs w:val="16"/>
        </w:rPr>
        <w:t>i o esterni all’Ente</w:t>
      </w:r>
      <w:r>
        <w:rPr>
          <w:rFonts w:eastAsia="Century Gothic" w:cs="Century Gothic" w:ascii="Century Gothic" w:hAnsi="Century Gothic"/>
          <w:color w:val="000000"/>
          <w:sz w:val="16"/>
          <w:szCs w:val="16"/>
        </w:rPr>
        <w:t xml:space="preserve">) influente nei confronti </w:t>
      </w:r>
      <w:r>
        <w:rPr>
          <w:rFonts w:eastAsia="Century Gothic" w:cs="Century Gothic" w:ascii="Century Gothic" w:hAnsi="Century Gothic"/>
          <w:sz w:val="16"/>
          <w:szCs w:val="16"/>
        </w:rPr>
        <w:t>dell’</w:t>
      </w:r>
      <w:r>
        <w:rPr>
          <w:rFonts w:eastAsia="Century Gothic" w:cs="Century Gothic" w:ascii="Century Gothic" w:hAnsi="Century Gothic"/>
          <w:color w:val="000000"/>
          <w:sz w:val="16"/>
          <w:szCs w:val="16"/>
        </w:rPr>
        <w:t xml:space="preserve">elaborazione del </w:t>
      </w:r>
      <w:r>
        <w:rPr>
          <w:rFonts w:eastAsia="Century Gothic" w:cs="Century Gothic" w:ascii="Century Gothic" w:hAnsi="Century Gothic"/>
          <w:sz w:val="16"/>
          <w:szCs w:val="16"/>
        </w:rPr>
        <w:t>PIAO</w:t>
      </w:r>
    </w:p>
    <w:p>
      <w:pPr>
        <w:pStyle w:val="Normal"/>
        <w:spacing w:lineRule="auto" w:line="240" w:before="0" w:after="0"/>
        <w:rPr>
          <w:rFonts w:eastAsia="Cambria"/>
          <w:color w:val="000000"/>
          <w:sz w:val="24"/>
          <w:szCs w:val="24"/>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center"/>
      <w:rPr>
        <w:rFonts w:eastAsia="Cambria"/>
        <w:color w:val="800000"/>
      </w:rPr>
    </w:pPr>
    <w:r>
      <w:rPr>
        <w:rFonts w:eastAsia="Cambria"/>
        <w:color w:val="800000"/>
      </w:rPr>
      <w:t>________________________________________________________________________________________________________________________________</w:t>
    </w:r>
  </w:p>
  <w:p>
    <w:pPr>
      <w:pStyle w:val="Normal"/>
      <w:tabs>
        <w:tab w:val="clear" w:pos="720"/>
        <w:tab w:val="center" w:pos="4819" w:leader="none"/>
        <w:tab w:val="right" w:pos="9638" w:leader="none"/>
      </w:tabs>
      <w:spacing w:lineRule="auto" w:line="240" w:before="0" w:after="0"/>
      <w:rPr>
        <w:rFonts w:eastAsia="Cambria"/>
        <w:color w:val="000000"/>
      </w:rPr>
    </w:pPr>
    <w:r>
      <w:rPr>
        <w:rFonts w:eastAsia="Cambria"/>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3948"/>
    <w:pPr>
      <w:widowControl/>
      <w:bidi w:val="0"/>
      <w:spacing w:lineRule="auto" w:line="276" w:before="0" w:after="200"/>
      <w:jc w:val="left"/>
    </w:pPr>
    <w:rPr>
      <w:rFonts w:ascii="Cambria" w:hAnsi="Cambria" w:eastAsia="Cambria" w:cs="Cambria" w:eastAsiaTheme="minorHAnsi"/>
      <w:color w:val="auto"/>
      <w:kern w:val="0"/>
      <w:sz w:val="22"/>
      <w:szCs w:val="22"/>
      <w:lang w:val="it-IT" w:eastAsia="en-US"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7618c"/>
    <w:rPr>
      <w:rFonts w:eastAsia="Cambria" w:eastAsiaTheme="minorHAnsi"/>
      <w:sz w:val="22"/>
      <w:szCs w:val="22"/>
      <w:lang w:eastAsia="en-US"/>
    </w:rPr>
  </w:style>
  <w:style w:type="character" w:styleId="PidipaginaCarattere" w:customStyle="1">
    <w:name w:val="Piè di pagina Carattere"/>
    <w:basedOn w:val="DefaultParagraphFont"/>
    <w:link w:val="Pidipagina"/>
    <w:uiPriority w:val="99"/>
    <w:qFormat/>
    <w:rsid w:val="0067618c"/>
    <w:rPr>
      <w:rFonts w:eastAsia="Cambria" w:eastAsiaTheme="minorHAnsi"/>
      <w:sz w:val="22"/>
      <w:szCs w:val="22"/>
      <w:lang w:eastAsia="en-US"/>
    </w:rPr>
  </w:style>
  <w:style w:type="character" w:styleId="TestonotaapidipaginaCarattere" w:customStyle="1">
    <w:name w:val="Testo nota a piè di pagina Carattere"/>
    <w:basedOn w:val="DefaultParagraphFont"/>
    <w:link w:val="Testonotaapidipagina"/>
    <w:uiPriority w:val="99"/>
    <w:qFormat/>
    <w:rsid w:val="00a23769"/>
    <w:rPr>
      <w:rFonts w:eastAsia="Cambria" w:eastAsiaTheme="minorHAnsi"/>
      <w:lang w:eastAsia="en-US"/>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a23769"/>
    <w:rPr>
      <w:vertAlign w:val="superscript"/>
    </w:rPr>
  </w:style>
  <w:style w:type="character" w:styleId="Strong">
    <w:name w:val="Strong"/>
    <w:basedOn w:val="DefaultParagraphFont"/>
    <w:uiPriority w:val="22"/>
    <w:qFormat/>
    <w:rsid w:val="00fb1410"/>
    <w:rPr>
      <w:b/>
      <w:bC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7618c"/>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7618c"/>
    <w:pPr>
      <w:tabs>
        <w:tab w:val="clear" w:pos="720"/>
        <w:tab w:val="center" w:pos="4819" w:leader="none"/>
        <w:tab w:val="right" w:pos="9638" w:leader="none"/>
      </w:tabs>
      <w:spacing w:lineRule="auto" w:line="240" w:before="0" w:after="0"/>
    </w:pPr>
    <w:rPr/>
  </w:style>
  <w:style w:type="paragraph" w:styleId="Notaapidipagina">
    <w:name w:val="Footnote Text"/>
    <w:basedOn w:val="Normal"/>
    <w:link w:val="TestonotaapidipaginaCarattere"/>
    <w:uiPriority w:val="99"/>
    <w:unhideWhenUsed/>
    <w:rsid w:val="00a23769"/>
    <w:pPr>
      <w:spacing w:lineRule="auto" w:line="240" w:before="0" w:after="0"/>
    </w:pPr>
    <w:rPr>
      <w:sz w:val="24"/>
      <w:szCs w:val="24"/>
    </w:rPr>
  </w:style>
  <w:style w:type="paragraph" w:styleId="COL" w:customStyle="1">
    <w:name w:val="COL"/>
    <w:basedOn w:val="Normal"/>
    <w:qFormat/>
    <w:rsid w:val="00fb1410"/>
    <w:pPr>
      <w:spacing w:lineRule="auto" w:line="240" w:before="0" w:after="0"/>
    </w:pPr>
    <w:rPr>
      <w:rFonts w:ascii="Arial" w:hAnsi="Arial" w:eastAsia="Times New Roman" w:cs="Arial"/>
      <w:sz w:val="20"/>
      <w:szCs w:val="20"/>
      <w:lang w:eastAsia="it-IT"/>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oospizio.it/" TargetMode="External"/><Relationship Id="rId3" Type="http://schemas.openxmlformats.org/officeDocument/2006/relationships/hyperlink" Target="mailto:info@pioospizi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VQo7SrkTy37nE5f0PIQIErxNjsQ==">AMUW2mVfIipxRsR4xGpz9qDn8UW2a1bYiT3YBUQRjT8dCyRySwXjuIQ49Y+DjVtajbRQTGIhvndlMvQe8Qx+1BZ0wRxjfQJLuKgsMcyhO3f8HxCK6SiBAjs=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Application>LibreOffice/6.4.0.3$Windows_X86_64 LibreOffice_project/b0a288ab3d2d4774cb44b62f04d5d28733ac6df8</Application>
  <Pages>5</Pages>
  <Words>1296</Words>
  <Characters>8380</Characters>
  <CharactersWithSpaces>9652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2020-10-21T07:18:00Z</dcterms:created>
  <dc:creator>Nadia Corà</dc:creator>
  <dc:description/>
  <dc:language>it-IT</dc:language>
  <cp:lastModifiedBy/>
  <dcterms:modified xsi:type="dcterms:W3CDTF">2023-05-04T09:35:08Z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