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Consiglio di Amministrazione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Presidente Zanetti Sivia Rita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Assunzioni interinali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Conferimento di incarichi di collaborazione, studio e ricerca nonche' di consulenza a soggetti estranei all'amministrazione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Attribuzione progressioni economiche orizzontali o di carriera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Assunzione di personale mediante concorsi, mobilita' e contratti di lavoro a tempo determinato o flessibile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Tutti i macroprocessi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Affidamento appalto di servizi e forniture di importo pari o superiore a 40.000 euro e inferiore alle soglie di cui all'articolo 35, D.Lgs. 50/2016 mediante il sistema della procedura negoziata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Tutti i macroprocessi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Affidamento appalto di lavori, servizi e forniture di importo inferiore a 40.000 euro tramite il sistema dell'affidamento diretto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Affitto beni del patrimonio disponibile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Servizio di gestione tariffe e rette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Accesso civico semplice concernente dati, documenti e informazioni soggetti a pubblicazione obbligatoria ai sensi del D.Lgs. 33/2013</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Affidamento appalto lavori pubblici mediante procedura negoziata previo bando di gara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Assunzione personale appartenente a categorie protette (Legge 68/1999)</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Consiglio di Amministrazione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